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E6" w:rsidRDefault="005C1B04" w:rsidP="003D10E6">
      <w:pPr>
        <w:spacing w:before="100" w:beforeAutospacing="1" w:after="225" w:line="240" w:lineRule="auto"/>
        <w:outlineLvl w:val="3"/>
        <w:rPr>
          <w:rFonts w:ascii="Droid Serif" w:eastAsia="Times New Roman" w:hAnsi="Droid Serif" w:cs="Times New Roman"/>
          <w:b/>
          <w:bCs/>
          <w:color w:val="000000"/>
          <w:sz w:val="30"/>
          <w:szCs w:val="30"/>
        </w:rPr>
      </w:pPr>
      <w:r>
        <w:rPr>
          <w:rFonts w:ascii="Droid Serif" w:eastAsia="Times New Roman" w:hAnsi="Droid Serif" w:cs="Times New Roman"/>
          <w:b/>
          <w:bCs/>
          <w:color w:val="000000"/>
          <w:sz w:val="30"/>
          <w:szCs w:val="30"/>
        </w:rPr>
        <w:t>SDO</w:t>
      </w:r>
      <w:r w:rsidR="003D10E6">
        <w:rPr>
          <w:rFonts w:ascii="Droid Serif" w:eastAsia="Times New Roman" w:hAnsi="Droid Serif" w:cs="Times New Roman"/>
          <w:b/>
          <w:bCs/>
          <w:color w:val="000000"/>
          <w:sz w:val="30"/>
          <w:szCs w:val="30"/>
        </w:rPr>
        <w:t>H Resources</w:t>
      </w:r>
      <w:r w:rsidR="003D10E6">
        <w:rPr>
          <w:rFonts w:ascii="Droid Serif" w:eastAsia="Times New Roman" w:hAnsi="Droid Serif" w:cs="Times New Roman"/>
          <w:b/>
          <w:bCs/>
          <w:color w:val="000000"/>
          <w:sz w:val="30"/>
          <w:szCs w:val="30"/>
        </w:rPr>
        <w:br/>
      </w:r>
    </w:p>
    <w:p w:rsidR="005C1B04" w:rsidRPr="00FF0BF6" w:rsidRDefault="005C1B04" w:rsidP="005C1B04">
      <w:pPr>
        <w:rPr>
          <w:b/>
          <w:sz w:val="28"/>
        </w:rPr>
      </w:pPr>
      <w:r w:rsidRPr="00FF0BF6">
        <w:rPr>
          <w:b/>
          <w:sz w:val="28"/>
        </w:rPr>
        <w:t>Quality of Life Indicator Resources</w:t>
      </w:r>
    </w:p>
    <w:p w:rsidR="005C1B04" w:rsidRDefault="005C1B04" w:rsidP="005C1B04">
      <w:hyperlink r:id="rId4" w:history="1">
        <w:r w:rsidRPr="00F447A0">
          <w:rPr>
            <w:rStyle w:val="Hyperlink"/>
          </w:rPr>
          <w:t>http://ec.europa.eu/eurostat/statistics-explained/index.php?title=Quality_of_life_indicators</w:t>
        </w:r>
      </w:hyperlink>
    </w:p>
    <w:p w:rsidR="005C1B04" w:rsidRDefault="005C1B04" w:rsidP="005C1B04">
      <w:hyperlink r:id="rId5" w:history="1">
        <w:r w:rsidRPr="00F447A0">
          <w:rPr>
            <w:rStyle w:val="Hyperlink"/>
          </w:rPr>
          <w:t>http://www.ipspr.sc.edu/publication/Quality%20of%20Life.pdf</w:t>
        </w:r>
      </w:hyperlink>
    </w:p>
    <w:p w:rsidR="005C1B04" w:rsidRPr="005C1B04" w:rsidRDefault="005C1B04" w:rsidP="003D10E6">
      <w:pPr>
        <w:spacing w:before="100" w:beforeAutospacing="1" w:after="225" w:line="240" w:lineRule="auto"/>
        <w:outlineLvl w:val="3"/>
        <w:rPr>
          <w:rStyle w:val="Hyperlink"/>
          <w:rFonts w:ascii="Droid Serif" w:eastAsia="Times New Roman" w:hAnsi="Droid Serif" w:cs="Times New Roman"/>
          <w:bCs/>
          <w:color w:val="auto"/>
          <w:sz w:val="26"/>
          <w:szCs w:val="30"/>
          <w:u w:val="none"/>
        </w:rPr>
      </w:pPr>
      <w:r w:rsidRPr="005C1B04">
        <w:rPr>
          <w:rStyle w:val="Hyperlink"/>
          <w:rFonts w:ascii="Droid Serif" w:eastAsia="Times New Roman" w:hAnsi="Droid Serif" w:cs="Times New Roman"/>
          <w:bCs/>
          <w:color w:val="auto"/>
          <w:sz w:val="26"/>
          <w:szCs w:val="30"/>
          <w:u w:val="none"/>
        </w:rPr>
        <w:t xml:space="preserve">The following link speaks </w:t>
      </w:r>
      <w:r>
        <w:rPr>
          <w:rStyle w:val="Hyperlink"/>
          <w:rFonts w:ascii="Droid Serif" w:eastAsia="Times New Roman" w:hAnsi="Droid Serif" w:cs="Times New Roman"/>
          <w:bCs/>
          <w:color w:val="auto"/>
          <w:sz w:val="26"/>
          <w:szCs w:val="30"/>
          <w:u w:val="none"/>
        </w:rPr>
        <w:t>raises the question about how do we avoid medicalizing the SDOH and the important distinction between “determinants of health” vs “determinants of well-being.” Graphic is also from this same resource.</w:t>
      </w:r>
    </w:p>
    <w:p w:rsidR="003D10E6" w:rsidRPr="003D10E6" w:rsidRDefault="009F0310" w:rsidP="003D10E6">
      <w:pPr>
        <w:spacing w:before="100" w:beforeAutospacing="1" w:after="225" w:line="240" w:lineRule="auto"/>
        <w:outlineLvl w:val="3"/>
        <w:rPr>
          <w:rFonts w:ascii="Droid Serif" w:eastAsia="Times New Roman" w:hAnsi="Droid Serif" w:cs="Times New Roman"/>
          <w:b/>
          <w:bCs/>
          <w:color w:val="000000"/>
          <w:sz w:val="26"/>
          <w:szCs w:val="30"/>
        </w:rPr>
      </w:pPr>
      <w:hyperlink r:id="rId6" w:history="1">
        <w:r w:rsidR="003D10E6" w:rsidRPr="003D10E6">
          <w:rPr>
            <w:rStyle w:val="Hyperlink"/>
            <w:rFonts w:ascii="Droid Serif" w:eastAsia="Times New Roman" w:hAnsi="Droid Serif" w:cs="Times New Roman"/>
            <w:b/>
            <w:bCs/>
            <w:sz w:val="26"/>
            <w:szCs w:val="30"/>
          </w:rPr>
          <w:t>https://nam.edu/social-deter</w:t>
        </w:r>
        <w:r w:rsidR="003D10E6" w:rsidRPr="003D10E6">
          <w:rPr>
            <w:rStyle w:val="Hyperlink"/>
            <w:rFonts w:ascii="Droid Serif" w:eastAsia="Times New Roman" w:hAnsi="Droid Serif" w:cs="Times New Roman"/>
            <w:b/>
            <w:bCs/>
            <w:sz w:val="26"/>
            <w:szCs w:val="30"/>
          </w:rPr>
          <w:t>m</w:t>
        </w:r>
        <w:r w:rsidR="003D10E6" w:rsidRPr="003D10E6">
          <w:rPr>
            <w:rStyle w:val="Hyperlink"/>
            <w:rFonts w:ascii="Droid Serif" w:eastAsia="Times New Roman" w:hAnsi="Droid Serif" w:cs="Times New Roman"/>
            <w:b/>
            <w:bCs/>
            <w:sz w:val="26"/>
            <w:szCs w:val="30"/>
          </w:rPr>
          <w:t>inants-of-health-101-for-health-care-five-plus-five/</w:t>
        </w:r>
      </w:hyperlink>
    </w:p>
    <w:p w:rsidR="003D10E6" w:rsidRPr="003D10E6" w:rsidRDefault="003D10E6" w:rsidP="003D10E6">
      <w:pPr>
        <w:spacing w:before="100" w:beforeAutospacing="1" w:after="225" w:line="240" w:lineRule="auto"/>
        <w:outlineLvl w:val="3"/>
        <w:rPr>
          <w:rFonts w:ascii="Droid Serif" w:eastAsia="Times New Roman" w:hAnsi="Droid Serif" w:cs="Times New Roman"/>
          <w:color w:val="275346"/>
          <w:sz w:val="30"/>
          <w:szCs w:val="30"/>
        </w:rPr>
      </w:pPr>
      <w:r w:rsidRPr="003D10E6">
        <w:rPr>
          <w:rFonts w:ascii="Droid Serif" w:eastAsia="Times New Roman" w:hAnsi="Droid Serif" w:cs="Times New Roman"/>
          <w:b/>
          <w:bCs/>
          <w:color w:val="000000"/>
          <w:sz w:val="30"/>
          <w:szCs w:val="30"/>
        </w:rPr>
        <w:t xml:space="preserve">2. How do we intervene without medicalizing </w:t>
      </w:r>
      <w:proofErr w:type="spellStart"/>
      <w:r w:rsidRPr="003D10E6">
        <w:rPr>
          <w:rFonts w:ascii="Droid Serif" w:eastAsia="Times New Roman" w:hAnsi="Droid Serif" w:cs="Times New Roman"/>
          <w:b/>
          <w:bCs/>
          <w:color w:val="000000"/>
          <w:sz w:val="30"/>
          <w:szCs w:val="30"/>
        </w:rPr>
        <w:t>SDoH</w:t>
      </w:r>
      <w:proofErr w:type="spellEnd"/>
      <w:r w:rsidRPr="003D10E6">
        <w:rPr>
          <w:rFonts w:ascii="Droid Serif" w:eastAsia="Times New Roman" w:hAnsi="Droid Serif" w:cs="Times New Roman"/>
          <w:b/>
          <w:bCs/>
          <w:color w:val="000000"/>
          <w:sz w:val="30"/>
          <w:szCs w:val="30"/>
        </w:rPr>
        <w:t>?</w:t>
      </w:r>
    </w:p>
    <w:p w:rsidR="003D10E6" w:rsidRPr="003D10E6" w:rsidRDefault="003D10E6" w:rsidP="003D10E6">
      <w:pPr>
        <w:spacing w:after="300" w:line="240" w:lineRule="auto"/>
        <w:rPr>
          <w:rFonts w:ascii="Open Sans" w:eastAsia="Times New Roman" w:hAnsi="Open Sans" w:cs="Times New Roman"/>
          <w:color w:val="666666"/>
          <w:sz w:val="23"/>
          <w:szCs w:val="23"/>
        </w:rPr>
      </w:pPr>
      <w:r w:rsidRPr="003D10E6">
        <w:rPr>
          <w:rFonts w:ascii="Open Sans" w:eastAsia="Times New Roman" w:hAnsi="Open Sans" w:cs="Times New Roman"/>
          <w:color w:val="000000"/>
          <w:sz w:val="23"/>
          <w:szCs w:val="23"/>
        </w:rPr>
        <w:t xml:space="preserve">There is a danger that a medical approach to these nonmedical factors will lead to more health care versus more cost-effective and community-based interventions. For example, a social worker sees a patient with schizophrenia once a week in northern Minnesota, but she says, “What this patient needs is a friend.” How do we avoid “re-creating the wheel” inside health care and increasing costs? How do we listen to communities, identify and delineate health care’s role, and collaborate appropriately with existing community resources and increase capacity? As health care professionals, we need huge doses of humility and openness to authentically address </w:t>
      </w:r>
      <w:proofErr w:type="spellStart"/>
      <w:r w:rsidRPr="003D10E6">
        <w:rPr>
          <w:rFonts w:ascii="Open Sans" w:eastAsia="Times New Roman" w:hAnsi="Open Sans" w:cs="Times New Roman"/>
          <w:color w:val="000000"/>
          <w:sz w:val="23"/>
          <w:szCs w:val="23"/>
        </w:rPr>
        <w:t>SDoH</w:t>
      </w:r>
      <w:proofErr w:type="spellEnd"/>
      <w:r w:rsidRPr="003D10E6">
        <w:rPr>
          <w:rFonts w:ascii="Open Sans" w:eastAsia="Times New Roman" w:hAnsi="Open Sans" w:cs="Times New Roman"/>
          <w:color w:val="000000"/>
          <w:sz w:val="23"/>
          <w:szCs w:val="23"/>
        </w:rPr>
        <w:t xml:space="preserve"> and form or join community partnerships. A recent infographic illustrates an emerging path for community collaboration—from the “aha moments” to feedback and course correction to new dialogue with the community [34].</w:t>
      </w:r>
    </w:p>
    <w:p w:rsidR="003D10E6" w:rsidRPr="003D10E6" w:rsidRDefault="003D10E6" w:rsidP="003D10E6">
      <w:pPr>
        <w:spacing w:line="360" w:lineRule="atLeast"/>
        <w:rPr>
          <w:rFonts w:ascii="Open Sans" w:eastAsia="Times New Roman" w:hAnsi="Open Sans" w:cs="Times New Roman"/>
          <w:i/>
          <w:iCs/>
          <w:color w:val="777777"/>
          <w:sz w:val="26"/>
          <w:szCs w:val="26"/>
        </w:rPr>
      </w:pPr>
      <w:r w:rsidRPr="003D10E6">
        <w:rPr>
          <w:rFonts w:ascii="Open Sans" w:eastAsia="Times New Roman" w:hAnsi="Open Sans" w:cs="Times New Roman"/>
          <w:i/>
          <w:iCs/>
          <w:color w:val="000000"/>
          <w:sz w:val="26"/>
          <w:szCs w:val="26"/>
        </w:rPr>
        <w:t xml:space="preserve">Corollary: We often speak of the </w:t>
      </w:r>
      <w:proofErr w:type="spellStart"/>
      <w:r w:rsidRPr="003D10E6">
        <w:rPr>
          <w:rFonts w:ascii="Open Sans" w:eastAsia="Times New Roman" w:hAnsi="Open Sans" w:cs="Times New Roman"/>
          <w:i/>
          <w:iCs/>
          <w:color w:val="000000"/>
          <w:sz w:val="26"/>
          <w:szCs w:val="26"/>
        </w:rPr>
        <w:t>SDoH</w:t>
      </w:r>
      <w:proofErr w:type="spellEnd"/>
      <w:r w:rsidRPr="003D10E6">
        <w:rPr>
          <w:rFonts w:ascii="Open Sans" w:eastAsia="Times New Roman" w:hAnsi="Open Sans" w:cs="Times New Roman"/>
          <w:i/>
          <w:iCs/>
          <w:color w:val="000000"/>
          <w:sz w:val="26"/>
          <w:szCs w:val="26"/>
        </w:rPr>
        <w:t xml:space="preserve">, but what are the “social determinants of well-being”? Well-being is “the sense of life satisfaction of the individual” as introduced by Evans and </w:t>
      </w:r>
      <w:proofErr w:type="spellStart"/>
      <w:r w:rsidRPr="003D10E6">
        <w:rPr>
          <w:rFonts w:ascii="Open Sans" w:eastAsia="Times New Roman" w:hAnsi="Open Sans" w:cs="Times New Roman"/>
          <w:i/>
          <w:iCs/>
          <w:color w:val="000000"/>
          <w:sz w:val="26"/>
          <w:szCs w:val="26"/>
        </w:rPr>
        <w:t>Stoddart</w:t>
      </w:r>
      <w:proofErr w:type="spellEnd"/>
      <w:r w:rsidRPr="003D10E6">
        <w:rPr>
          <w:rFonts w:ascii="Open Sans" w:eastAsia="Times New Roman" w:hAnsi="Open Sans" w:cs="Times New Roman"/>
          <w:i/>
          <w:iCs/>
          <w:color w:val="000000"/>
          <w:sz w:val="26"/>
          <w:szCs w:val="26"/>
        </w:rPr>
        <w:t xml:space="preserve"> in their classic paper on the determinants of health, in which they postulate that well-being is the ultimate objective of health policy [35]. Advancing “social determinants of well-being” versus health does not have the automatic association with hospitals, clinics, visits, tests, procedures, and medication that the term health has. This concept is promoted by </w:t>
      </w:r>
      <w:proofErr w:type="spellStart"/>
      <w:r w:rsidRPr="003D10E6">
        <w:rPr>
          <w:rFonts w:ascii="Open Sans" w:eastAsia="Times New Roman" w:hAnsi="Open Sans" w:cs="Times New Roman"/>
          <w:i/>
          <w:iCs/>
          <w:color w:val="000000"/>
          <w:sz w:val="26"/>
          <w:szCs w:val="26"/>
        </w:rPr>
        <w:t>Kottke</w:t>
      </w:r>
      <w:proofErr w:type="spellEnd"/>
      <w:r w:rsidRPr="003D10E6">
        <w:rPr>
          <w:rFonts w:ascii="Open Sans" w:eastAsia="Times New Roman" w:hAnsi="Open Sans" w:cs="Times New Roman"/>
          <w:i/>
          <w:iCs/>
          <w:color w:val="000000"/>
          <w:sz w:val="26"/>
          <w:szCs w:val="26"/>
        </w:rPr>
        <w:t xml:space="preserve">, </w:t>
      </w:r>
      <w:proofErr w:type="spellStart"/>
      <w:r w:rsidRPr="003D10E6">
        <w:rPr>
          <w:rFonts w:ascii="Open Sans" w:eastAsia="Times New Roman" w:hAnsi="Open Sans" w:cs="Times New Roman"/>
          <w:i/>
          <w:iCs/>
          <w:color w:val="000000"/>
          <w:sz w:val="26"/>
          <w:szCs w:val="26"/>
        </w:rPr>
        <w:t>Stiefel</w:t>
      </w:r>
      <w:proofErr w:type="spellEnd"/>
      <w:r w:rsidRPr="003D10E6">
        <w:rPr>
          <w:rFonts w:ascii="Open Sans" w:eastAsia="Times New Roman" w:hAnsi="Open Sans" w:cs="Times New Roman"/>
          <w:i/>
          <w:iCs/>
          <w:color w:val="000000"/>
          <w:sz w:val="26"/>
          <w:szCs w:val="26"/>
        </w:rPr>
        <w:t xml:space="preserve">, and </w:t>
      </w:r>
      <w:proofErr w:type="spellStart"/>
      <w:r w:rsidRPr="003D10E6">
        <w:rPr>
          <w:rFonts w:ascii="Open Sans" w:eastAsia="Times New Roman" w:hAnsi="Open Sans" w:cs="Times New Roman"/>
          <w:i/>
          <w:iCs/>
          <w:color w:val="000000"/>
          <w:sz w:val="26"/>
          <w:szCs w:val="26"/>
        </w:rPr>
        <w:t>Pronk</w:t>
      </w:r>
      <w:proofErr w:type="spellEnd"/>
      <w:r w:rsidRPr="003D10E6">
        <w:rPr>
          <w:rFonts w:ascii="Open Sans" w:eastAsia="Times New Roman" w:hAnsi="Open Sans" w:cs="Times New Roman"/>
          <w:i/>
          <w:iCs/>
          <w:color w:val="000000"/>
          <w:sz w:val="26"/>
          <w:szCs w:val="26"/>
        </w:rPr>
        <w:t xml:space="preserve"> who suggest we engage others and avoid medicalizing by focusing on “well-being in all policies” rather than health in all policies [36</w:t>
      </w:r>
      <w:proofErr w:type="gramStart"/>
      <w:r w:rsidRPr="003D10E6">
        <w:rPr>
          <w:rFonts w:ascii="Open Sans" w:eastAsia="Times New Roman" w:hAnsi="Open Sans" w:cs="Times New Roman"/>
          <w:i/>
          <w:iCs/>
          <w:color w:val="000000"/>
          <w:sz w:val="26"/>
          <w:szCs w:val="26"/>
        </w:rPr>
        <w:t>,37</w:t>
      </w:r>
      <w:proofErr w:type="gramEnd"/>
      <w:r w:rsidRPr="003D10E6">
        <w:rPr>
          <w:rFonts w:ascii="Open Sans" w:eastAsia="Times New Roman" w:hAnsi="Open Sans" w:cs="Times New Roman"/>
          <w:i/>
          <w:iCs/>
          <w:color w:val="000000"/>
          <w:sz w:val="26"/>
          <w:szCs w:val="26"/>
        </w:rPr>
        <w:t>].</w:t>
      </w:r>
    </w:p>
    <w:p w:rsidR="0005115A" w:rsidRDefault="0005115A"/>
    <w:p w:rsidR="003D10E6" w:rsidRDefault="003D10E6"/>
    <w:p w:rsidR="003D10E6" w:rsidRPr="003D10E6" w:rsidRDefault="003D10E6" w:rsidP="003D10E6">
      <w:pPr>
        <w:spacing w:after="0" w:line="240" w:lineRule="auto"/>
        <w:rPr>
          <w:rFonts w:ascii="Open Sans" w:eastAsia="Times New Roman" w:hAnsi="Open Sans" w:cs="Times New Roman"/>
          <w:color w:val="666666"/>
          <w:sz w:val="23"/>
          <w:szCs w:val="23"/>
        </w:rPr>
      </w:pPr>
      <w:bookmarkStart w:id="0" w:name="_GoBack"/>
      <w:r w:rsidRPr="003D10E6">
        <w:rPr>
          <w:rFonts w:ascii="Open Sans" w:eastAsia="Times New Roman" w:hAnsi="Open Sans" w:cs="Times New Roman"/>
          <w:noProof/>
          <w:color w:val="0ABDF5"/>
          <w:sz w:val="23"/>
          <w:szCs w:val="23"/>
        </w:rPr>
        <w:lastRenderedPageBreak/>
        <w:drawing>
          <wp:inline distT="0" distB="0" distL="0" distR="0">
            <wp:extent cx="6038850" cy="6724650"/>
            <wp:effectExtent l="0" t="0" r="0" b="0"/>
            <wp:docPr id="1" name="Picture 1" descr="https://nam.edu/wp-content/uploads/2017/10/CHRR_Figur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m.edu/wp-content/uploads/2017/10/CHRR_Figure.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0" cy="6724650"/>
                    </a:xfrm>
                    <a:prstGeom prst="rect">
                      <a:avLst/>
                    </a:prstGeom>
                    <a:noFill/>
                    <a:ln>
                      <a:noFill/>
                    </a:ln>
                  </pic:spPr>
                </pic:pic>
              </a:graphicData>
            </a:graphic>
          </wp:inline>
        </w:drawing>
      </w:r>
    </w:p>
    <w:p w:rsidR="003D10E6" w:rsidRPr="003D10E6" w:rsidRDefault="003D10E6" w:rsidP="003D10E6">
      <w:pPr>
        <w:spacing w:after="300" w:line="240" w:lineRule="auto"/>
        <w:rPr>
          <w:rFonts w:ascii="Open Sans" w:eastAsia="Times New Roman" w:hAnsi="Open Sans" w:cs="Times New Roman"/>
          <w:color w:val="666666"/>
          <w:sz w:val="23"/>
          <w:szCs w:val="23"/>
        </w:rPr>
      </w:pPr>
      <w:r w:rsidRPr="003D10E6">
        <w:rPr>
          <w:rFonts w:ascii="Open Sans" w:eastAsia="Times New Roman" w:hAnsi="Open Sans" w:cs="Times New Roman"/>
          <w:b/>
          <w:bCs/>
          <w:color w:val="000000"/>
          <w:sz w:val="23"/>
          <w:szCs w:val="23"/>
        </w:rPr>
        <w:t>Figure 1</w:t>
      </w:r>
      <w:r w:rsidRPr="003D10E6">
        <w:rPr>
          <w:rFonts w:ascii="Open Sans" w:eastAsia="Times New Roman" w:hAnsi="Open Sans" w:cs="Times New Roman"/>
          <w:color w:val="000000"/>
          <w:sz w:val="23"/>
          <w:szCs w:val="23"/>
        </w:rPr>
        <w:t xml:space="preserve"> | County Health Rankings &amp; Roadmaps | </w:t>
      </w:r>
      <w:r w:rsidRPr="003D10E6">
        <w:rPr>
          <w:rFonts w:ascii="Open Sans" w:eastAsia="Times New Roman" w:hAnsi="Open Sans" w:cs="Times New Roman"/>
          <w:i/>
          <w:iCs/>
          <w:color w:val="000000"/>
          <w:sz w:val="23"/>
          <w:szCs w:val="23"/>
        </w:rPr>
        <w:t xml:space="preserve">Source: Reprinted with permission from County Health Rankings &amp; Roadmaps, http://www.countyhealthrankings.org/our-approach (accessed July 18, 2017). </w:t>
      </w:r>
    </w:p>
    <w:bookmarkEnd w:id="0"/>
    <w:p w:rsidR="003D10E6" w:rsidRDefault="003D10E6"/>
    <w:p w:rsidR="00FF0BF6" w:rsidRDefault="00FF0BF6"/>
    <w:p w:rsidR="003331DC" w:rsidRDefault="003331DC"/>
    <w:sectPr w:rsidR="00333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roid Serif">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E6"/>
    <w:rsid w:val="0005115A"/>
    <w:rsid w:val="003331DC"/>
    <w:rsid w:val="003D10E6"/>
    <w:rsid w:val="005C1B04"/>
    <w:rsid w:val="009F0310"/>
    <w:rsid w:val="00FF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A12E"/>
  <w15:chartTrackingRefBased/>
  <w15:docId w15:val="{9B710830-1488-481B-8891-A0F910C6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0E6"/>
    <w:rPr>
      <w:color w:val="0000FF" w:themeColor="hyperlink"/>
      <w:u w:val="single"/>
    </w:rPr>
  </w:style>
  <w:style w:type="character" w:styleId="FollowedHyperlink">
    <w:name w:val="FollowedHyperlink"/>
    <w:basedOn w:val="DefaultParagraphFont"/>
    <w:uiPriority w:val="99"/>
    <w:semiHidden/>
    <w:unhideWhenUsed/>
    <w:rsid w:val="005C1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38238">
      <w:bodyDiv w:val="1"/>
      <w:marLeft w:val="0"/>
      <w:marRight w:val="0"/>
      <w:marTop w:val="0"/>
      <w:marBottom w:val="0"/>
      <w:divBdr>
        <w:top w:val="none" w:sz="0" w:space="0" w:color="auto"/>
        <w:left w:val="none" w:sz="0" w:space="0" w:color="auto"/>
        <w:bottom w:val="none" w:sz="0" w:space="0" w:color="auto"/>
        <w:right w:val="none" w:sz="0" w:space="0" w:color="auto"/>
      </w:divBdr>
      <w:divsChild>
        <w:div w:id="373234320">
          <w:marLeft w:val="0"/>
          <w:marRight w:val="0"/>
          <w:marTop w:val="0"/>
          <w:marBottom w:val="0"/>
          <w:divBdr>
            <w:top w:val="none" w:sz="0" w:space="0" w:color="auto"/>
            <w:left w:val="none" w:sz="0" w:space="0" w:color="auto"/>
            <w:bottom w:val="none" w:sz="0" w:space="0" w:color="auto"/>
            <w:right w:val="none" w:sz="0" w:space="0" w:color="auto"/>
          </w:divBdr>
          <w:divsChild>
            <w:div w:id="116415808">
              <w:marLeft w:val="0"/>
              <w:marRight w:val="0"/>
              <w:marTop w:val="0"/>
              <w:marBottom w:val="0"/>
              <w:divBdr>
                <w:top w:val="none" w:sz="0" w:space="0" w:color="auto"/>
                <w:left w:val="none" w:sz="0" w:space="0" w:color="auto"/>
                <w:bottom w:val="none" w:sz="0" w:space="0" w:color="auto"/>
                <w:right w:val="none" w:sz="0" w:space="0" w:color="auto"/>
              </w:divBdr>
              <w:divsChild>
                <w:div w:id="681738166">
                  <w:marLeft w:val="0"/>
                  <w:marRight w:val="0"/>
                  <w:marTop w:val="0"/>
                  <w:marBottom w:val="0"/>
                  <w:divBdr>
                    <w:top w:val="none" w:sz="0" w:space="0" w:color="auto"/>
                    <w:left w:val="none" w:sz="0" w:space="0" w:color="auto"/>
                    <w:bottom w:val="none" w:sz="0" w:space="0" w:color="auto"/>
                    <w:right w:val="none" w:sz="0" w:space="0" w:color="auto"/>
                  </w:divBdr>
                  <w:divsChild>
                    <w:div w:id="542443184">
                      <w:marLeft w:val="0"/>
                      <w:marRight w:val="0"/>
                      <w:marTop w:val="0"/>
                      <w:marBottom w:val="0"/>
                      <w:divBdr>
                        <w:top w:val="none" w:sz="0" w:space="0" w:color="auto"/>
                        <w:left w:val="none" w:sz="0" w:space="0" w:color="auto"/>
                        <w:bottom w:val="none" w:sz="0" w:space="0" w:color="auto"/>
                        <w:right w:val="none" w:sz="0" w:space="0" w:color="auto"/>
                      </w:divBdr>
                      <w:divsChild>
                        <w:div w:id="1396080516">
                          <w:marLeft w:val="0"/>
                          <w:marRight w:val="0"/>
                          <w:marTop w:val="0"/>
                          <w:marBottom w:val="0"/>
                          <w:divBdr>
                            <w:top w:val="none" w:sz="0" w:space="0" w:color="auto"/>
                            <w:left w:val="none" w:sz="0" w:space="0" w:color="auto"/>
                            <w:bottom w:val="none" w:sz="0" w:space="0" w:color="auto"/>
                            <w:right w:val="none" w:sz="0" w:space="0" w:color="auto"/>
                          </w:divBdr>
                          <w:divsChild>
                            <w:div w:id="2123262649">
                              <w:marLeft w:val="0"/>
                              <w:marRight w:val="0"/>
                              <w:marTop w:val="0"/>
                              <w:marBottom w:val="0"/>
                              <w:divBdr>
                                <w:top w:val="none" w:sz="0" w:space="0" w:color="auto"/>
                                <w:left w:val="none" w:sz="0" w:space="0" w:color="auto"/>
                                <w:bottom w:val="none" w:sz="0" w:space="0" w:color="auto"/>
                                <w:right w:val="none" w:sz="0" w:space="0" w:color="auto"/>
                              </w:divBdr>
                              <w:divsChild>
                                <w:div w:id="2012557812">
                                  <w:marLeft w:val="0"/>
                                  <w:marRight w:val="0"/>
                                  <w:marTop w:val="0"/>
                                  <w:marBottom w:val="0"/>
                                  <w:divBdr>
                                    <w:top w:val="none" w:sz="0" w:space="0" w:color="auto"/>
                                    <w:left w:val="none" w:sz="0" w:space="0" w:color="auto"/>
                                    <w:bottom w:val="none" w:sz="0" w:space="0" w:color="auto"/>
                                    <w:right w:val="none" w:sz="0" w:space="0" w:color="auto"/>
                                  </w:divBdr>
                                  <w:divsChild>
                                    <w:div w:id="125588125">
                                      <w:marLeft w:val="0"/>
                                      <w:marRight w:val="0"/>
                                      <w:marTop w:val="0"/>
                                      <w:marBottom w:val="0"/>
                                      <w:divBdr>
                                        <w:top w:val="none" w:sz="0" w:space="0" w:color="auto"/>
                                        <w:left w:val="none" w:sz="0" w:space="0" w:color="auto"/>
                                        <w:bottom w:val="none" w:sz="0" w:space="0" w:color="auto"/>
                                        <w:right w:val="none" w:sz="0" w:space="0" w:color="auto"/>
                                      </w:divBdr>
                                      <w:divsChild>
                                        <w:div w:id="126509597">
                                          <w:marLeft w:val="0"/>
                                          <w:marRight w:val="0"/>
                                          <w:marTop w:val="300"/>
                                          <w:marBottom w:val="0"/>
                                          <w:divBdr>
                                            <w:top w:val="none" w:sz="0" w:space="0" w:color="auto"/>
                                            <w:left w:val="none" w:sz="0" w:space="0" w:color="auto"/>
                                            <w:bottom w:val="none" w:sz="0" w:space="0" w:color="auto"/>
                                            <w:right w:val="none" w:sz="0" w:space="0" w:color="auto"/>
                                          </w:divBdr>
                                          <w:divsChild>
                                            <w:div w:id="425151860">
                                              <w:marLeft w:val="0"/>
                                              <w:marRight w:val="0"/>
                                              <w:marTop w:val="0"/>
                                              <w:marBottom w:val="0"/>
                                              <w:divBdr>
                                                <w:top w:val="none" w:sz="0" w:space="0" w:color="auto"/>
                                                <w:left w:val="none" w:sz="0" w:space="0" w:color="auto"/>
                                                <w:bottom w:val="none" w:sz="0" w:space="0" w:color="auto"/>
                                                <w:right w:val="none" w:sz="0" w:space="0" w:color="auto"/>
                                              </w:divBdr>
                                              <w:divsChild>
                                                <w:div w:id="1509951763">
                                                  <w:marLeft w:val="0"/>
                                                  <w:marRight w:val="0"/>
                                                  <w:marTop w:val="0"/>
                                                  <w:marBottom w:val="0"/>
                                                  <w:divBdr>
                                                    <w:top w:val="none" w:sz="0" w:space="0" w:color="auto"/>
                                                    <w:left w:val="none" w:sz="0" w:space="0" w:color="auto"/>
                                                    <w:bottom w:val="none" w:sz="0" w:space="0" w:color="auto"/>
                                                    <w:right w:val="none" w:sz="0" w:space="0" w:color="auto"/>
                                                  </w:divBdr>
                                                  <w:divsChild>
                                                    <w:div w:id="19320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020614">
      <w:bodyDiv w:val="1"/>
      <w:marLeft w:val="0"/>
      <w:marRight w:val="0"/>
      <w:marTop w:val="0"/>
      <w:marBottom w:val="0"/>
      <w:divBdr>
        <w:top w:val="none" w:sz="0" w:space="0" w:color="auto"/>
        <w:left w:val="none" w:sz="0" w:space="0" w:color="auto"/>
        <w:bottom w:val="none" w:sz="0" w:space="0" w:color="auto"/>
        <w:right w:val="none" w:sz="0" w:space="0" w:color="auto"/>
      </w:divBdr>
      <w:divsChild>
        <w:div w:id="942495152">
          <w:marLeft w:val="0"/>
          <w:marRight w:val="0"/>
          <w:marTop w:val="0"/>
          <w:marBottom w:val="0"/>
          <w:divBdr>
            <w:top w:val="none" w:sz="0" w:space="0" w:color="auto"/>
            <w:left w:val="none" w:sz="0" w:space="0" w:color="auto"/>
            <w:bottom w:val="none" w:sz="0" w:space="0" w:color="auto"/>
            <w:right w:val="none" w:sz="0" w:space="0" w:color="auto"/>
          </w:divBdr>
          <w:divsChild>
            <w:div w:id="1458766089">
              <w:marLeft w:val="0"/>
              <w:marRight w:val="0"/>
              <w:marTop w:val="0"/>
              <w:marBottom w:val="0"/>
              <w:divBdr>
                <w:top w:val="none" w:sz="0" w:space="0" w:color="auto"/>
                <w:left w:val="none" w:sz="0" w:space="0" w:color="auto"/>
                <w:bottom w:val="none" w:sz="0" w:space="0" w:color="auto"/>
                <w:right w:val="none" w:sz="0" w:space="0" w:color="auto"/>
              </w:divBdr>
              <w:divsChild>
                <w:div w:id="1362363865">
                  <w:marLeft w:val="0"/>
                  <w:marRight w:val="0"/>
                  <w:marTop w:val="0"/>
                  <w:marBottom w:val="0"/>
                  <w:divBdr>
                    <w:top w:val="none" w:sz="0" w:space="0" w:color="auto"/>
                    <w:left w:val="none" w:sz="0" w:space="0" w:color="auto"/>
                    <w:bottom w:val="none" w:sz="0" w:space="0" w:color="auto"/>
                    <w:right w:val="none" w:sz="0" w:space="0" w:color="auto"/>
                  </w:divBdr>
                  <w:divsChild>
                    <w:div w:id="635333468">
                      <w:marLeft w:val="0"/>
                      <w:marRight w:val="0"/>
                      <w:marTop w:val="0"/>
                      <w:marBottom w:val="0"/>
                      <w:divBdr>
                        <w:top w:val="none" w:sz="0" w:space="0" w:color="auto"/>
                        <w:left w:val="none" w:sz="0" w:space="0" w:color="auto"/>
                        <w:bottom w:val="none" w:sz="0" w:space="0" w:color="auto"/>
                        <w:right w:val="none" w:sz="0" w:space="0" w:color="auto"/>
                      </w:divBdr>
                      <w:divsChild>
                        <w:div w:id="102577467">
                          <w:marLeft w:val="0"/>
                          <w:marRight w:val="0"/>
                          <w:marTop w:val="0"/>
                          <w:marBottom w:val="0"/>
                          <w:divBdr>
                            <w:top w:val="none" w:sz="0" w:space="0" w:color="auto"/>
                            <w:left w:val="none" w:sz="0" w:space="0" w:color="auto"/>
                            <w:bottom w:val="none" w:sz="0" w:space="0" w:color="auto"/>
                            <w:right w:val="none" w:sz="0" w:space="0" w:color="auto"/>
                          </w:divBdr>
                          <w:divsChild>
                            <w:div w:id="569537624">
                              <w:marLeft w:val="0"/>
                              <w:marRight w:val="0"/>
                              <w:marTop w:val="0"/>
                              <w:marBottom w:val="0"/>
                              <w:divBdr>
                                <w:top w:val="none" w:sz="0" w:space="0" w:color="auto"/>
                                <w:left w:val="none" w:sz="0" w:space="0" w:color="auto"/>
                                <w:bottom w:val="none" w:sz="0" w:space="0" w:color="auto"/>
                                <w:right w:val="none" w:sz="0" w:space="0" w:color="auto"/>
                              </w:divBdr>
                              <w:divsChild>
                                <w:div w:id="855382946">
                                  <w:marLeft w:val="0"/>
                                  <w:marRight w:val="0"/>
                                  <w:marTop w:val="0"/>
                                  <w:marBottom w:val="0"/>
                                  <w:divBdr>
                                    <w:top w:val="none" w:sz="0" w:space="0" w:color="auto"/>
                                    <w:left w:val="none" w:sz="0" w:space="0" w:color="auto"/>
                                    <w:bottom w:val="none" w:sz="0" w:space="0" w:color="auto"/>
                                    <w:right w:val="none" w:sz="0" w:space="0" w:color="auto"/>
                                  </w:divBdr>
                                  <w:divsChild>
                                    <w:div w:id="968974411">
                                      <w:marLeft w:val="0"/>
                                      <w:marRight w:val="0"/>
                                      <w:marTop w:val="0"/>
                                      <w:marBottom w:val="0"/>
                                      <w:divBdr>
                                        <w:top w:val="none" w:sz="0" w:space="0" w:color="auto"/>
                                        <w:left w:val="none" w:sz="0" w:space="0" w:color="auto"/>
                                        <w:bottom w:val="none" w:sz="0" w:space="0" w:color="auto"/>
                                        <w:right w:val="none" w:sz="0" w:space="0" w:color="auto"/>
                                      </w:divBdr>
                                      <w:divsChild>
                                        <w:div w:id="267587293">
                                          <w:marLeft w:val="0"/>
                                          <w:marRight w:val="0"/>
                                          <w:marTop w:val="300"/>
                                          <w:marBottom w:val="0"/>
                                          <w:divBdr>
                                            <w:top w:val="none" w:sz="0" w:space="0" w:color="auto"/>
                                            <w:left w:val="none" w:sz="0" w:space="0" w:color="auto"/>
                                            <w:bottom w:val="none" w:sz="0" w:space="0" w:color="auto"/>
                                            <w:right w:val="none" w:sz="0" w:space="0" w:color="auto"/>
                                          </w:divBdr>
                                          <w:divsChild>
                                            <w:div w:id="1425880962">
                                              <w:marLeft w:val="0"/>
                                              <w:marRight w:val="0"/>
                                              <w:marTop w:val="0"/>
                                              <w:marBottom w:val="0"/>
                                              <w:divBdr>
                                                <w:top w:val="none" w:sz="0" w:space="0" w:color="auto"/>
                                                <w:left w:val="none" w:sz="0" w:space="0" w:color="auto"/>
                                                <w:bottom w:val="none" w:sz="0" w:space="0" w:color="auto"/>
                                                <w:right w:val="none" w:sz="0" w:space="0" w:color="auto"/>
                                              </w:divBdr>
                                              <w:divsChild>
                                                <w:div w:id="2087411734">
                                                  <w:marLeft w:val="0"/>
                                                  <w:marRight w:val="0"/>
                                                  <w:marTop w:val="0"/>
                                                  <w:marBottom w:val="0"/>
                                                  <w:divBdr>
                                                    <w:top w:val="none" w:sz="0" w:space="0" w:color="auto"/>
                                                    <w:left w:val="none" w:sz="0" w:space="0" w:color="auto"/>
                                                    <w:bottom w:val="none" w:sz="0" w:space="0" w:color="auto"/>
                                                    <w:right w:val="none" w:sz="0" w:space="0" w:color="auto"/>
                                                  </w:divBdr>
                                                  <w:divsChild>
                                                    <w:div w:id="595358157">
                                                      <w:blockQuote w:val="1"/>
                                                      <w:marLeft w:val="0"/>
                                                      <w:marRight w:val="0"/>
                                                      <w:marTop w:val="0"/>
                                                      <w:marBottom w:val="300"/>
                                                      <w:divBdr>
                                                        <w:top w:val="none" w:sz="0" w:space="0" w:color="auto"/>
                                                        <w:left w:val="single" w:sz="6" w:space="14"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nam.edu/wp-content/uploads/2017/10/CHRR_Figure.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edu/social-determinants-of-health-101-for-health-care-five-plus-five/" TargetMode="External"/><Relationship Id="rId5" Type="http://schemas.openxmlformats.org/officeDocument/2006/relationships/hyperlink" Target="http://www.ipspr.sc.edu/publication/Quality%20of%20Life.pdf" TargetMode="External"/><Relationship Id="rId10" Type="http://schemas.openxmlformats.org/officeDocument/2006/relationships/theme" Target="theme/theme1.xml"/><Relationship Id="rId4" Type="http://schemas.openxmlformats.org/officeDocument/2006/relationships/hyperlink" Target="http://ec.europa.eu/eurostat/statistics-explained/index.php?title=Quality_of_life_indicato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Witcig, Wendy</dc:creator>
  <cp:keywords/>
  <dc:description/>
  <cp:lastModifiedBy>Witcig, Wendy</cp:lastModifiedBy>
  <cp:revision>2</cp:revision>
  <dcterms:created xsi:type="dcterms:W3CDTF">2018-06-22T04:42:00Z</dcterms:created>
  <dcterms:modified xsi:type="dcterms:W3CDTF">2019-01-22T22:37:00Z</dcterms:modified>
</cp:coreProperties>
</file>